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DB" w:rsidRDefault="00EE62DB" w:rsidP="009237FC">
      <w:pPr>
        <w:spacing w:line="360" w:lineRule="auto"/>
        <w:jc w:val="center"/>
        <w:rPr>
          <w:rFonts w:ascii="Arial" w:hAnsi="Arial" w:cs="Arial"/>
          <w:b/>
          <w:sz w:val="28"/>
          <w:szCs w:val="28"/>
        </w:rPr>
      </w:pPr>
      <w:r>
        <w:rPr>
          <w:rFonts w:ascii="Arial" w:hAnsi="Arial" w:cs="Arial"/>
          <w:b/>
          <w:sz w:val="28"/>
          <w:szCs w:val="28"/>
        </w:rPr>
        <w:t>Alyth Kindergarten</w:t>
      </w:r>
    </w:p>
    <w:p w:rsidR="00EE62DB" w:rsidRPr="00814DF1" w:rsidRDefault="00EE62DB" w:rsidP="009237FC">
      <w:pPr>
        <w:spacing w:line="360" w:lineRule="auto"/>
        <w:jc w:val="center"/>
        <w:rPr>
          <w:rFonts w:ascii="Arial" w:hAnsi="Arial" w:cs="Arial"/>
          <w:b/>
          <w:sz w:val="28"/>
          <w:szCs w:val="28"/>
        </w:rPr>
      </w:pPr>
    </w:p>
    <w:p w:rsidR="00EE62DB" w:rsidRPr="00814DF1" w:rsidRDefault="00EE62DB" w:rsidP="009237FC">
      <w:pPr>
        <w:spacing w:line="360" w:lineRule="auto"/>
        <w:rPr>
          <w:rFonts w:ascii="Arial" w:hAnsi="Arial" w:cs="Arial"/>
          <w:b/>
          <w:sz w:val="28"/>
          <w:szCs w:val="28"/>
        </w:rPr>
      </w:pPr>
      <w:r>
        <w:rPr>
          <w:rFonts w:ascii="Arial" w:hAnsi="Arial" w:cs="Arial"/>
          <w:b/>
          <w:sz w:val="28"/>
          <w:szCs w:val="28"/>
        </w:rPr>
        <w:t>Employment, Suitable People</w:t>
      </w:r>
    </w:p>
    <w:p w:rsidR="00EE62DB" w:rsidRPr="00814DF1" w:rsidRDefault="00EE62DB" w:rsidP="009237FC">
      <w:pPr>
        <w:spacing w:line="360" w:lineRule="auto"/>
        <w:rPr>
          <w:rFonts w:ascii="Arial" w:hAnsi="Arial" w:cs="Arial"/>
          <w:b/>
          <w:sz w:val="28"/>
          <w:szCs w:val="28"/>
        </w:rPr>
      </w:pPr>
    </w:p>
    <w:p w:rsidR="00EE62DB" w:rsidRPr="008E25C2" w:rsidRDefault="00EE62DB" w:rsidP="009237FC">
      <w:pPr>
        <w:spacing w:line="360" w:lineRule="auto"/>
        <w:rPr>
          <w:rFonts w:ascii="Arial" w:hAnsi="Arial" w:cs="Arial"/>
          <w:sz w:val="22"/>
          <w:szCs w:val="22"/>
        </w:rPr>
      </w:pPr>
      <w:r>
        <w:rPr>
          <w:rFonts w:ascii="Arial" w:hAnsi="Arial" w:cs="Arial"/>
          <w:b/>
          <w:sz w:val="28"/>
          <w:szCs w:val="28"/>
        </w:rPr>
        <w:t>2.5 Whistle Blowing Policy and procedure</w:t>
      </w:r>
    </w:p>
    <w:p w:rsidR="00EE62DB" w:rsidRDefault="00EE62DB" w:rsidP="00F56A07">
      <w:pPr>
        <w:pStyle w:val="Default"/>
        <w:jc w:val="center"/>
        <w:rPr>
          <w:sz w:val="23"/>
          <w:szCs w:val="23"/>
        </w:rPr>
      </w:pPr>
    </w:p>
    <w:p w:rsidR="00EE62DB" w:rsidRDefault="00EE62DB" w:rsidP="00F56A07">
      <w:pPr>
        <w:pStyle w:val="Default"/>
        <w:jc w:val="both"/>
        <w:rPr>
          <w:sz w:val="22"/>
          <w:szCs w:val="22"/>
        </w:rPr>
      </w:pPr>
      <w:r>
        <w:rPr>
          <w:b/>
          <w:bCs/>
          <w:sz w:val="22"/>
          <w:szCs w:val="22"/>
        </w:rPr>
        <w:t xml:space="preserve">1.0 Introduction </w:t>
      </w:r>
    </w:p>
    <w:p w:rsidR="00EE62DB" w:rsidRDefault="00EE62DB" w:rsidP="00F56A07">
      <w:pPr>
        <w:pStyle w:val="Default"/>
        <w:ind w:left="720" w:hanging="720"/>
        <w:jc w:val="both"/>
        <w:rPr>
          <w:sz w:val="22"/>
          <w:szCs w:val="22"/>
        </w:rPr>
      </w:pPr>
      <w:r>
        <w:rPr>
          <w:sz w:val="22"/>
          <w:szCs w:val="22"/>
        </w:rPr>
        <w:t xml:space="preserve">1.1 This procedure is designed to encourage a free and open culture in the Kindergarten’s dealings between volunteers, employees and all people who engage in the Kindergarten’s business and legal relations. </w:t>
      </w:r>
    </w:p>
    <w:p w:rsidR="00EE62DB" w:rsidRDefault="00EE62DB" w:rsidP="00F56A07">
      <w:pPr>
        <w:pStyle w:val="Default"/>
        <w:ind w:left="720" w:hanging="720"/>
        <w:jc w:val="both"/>
        <w:rPr>
          <w:sz w:val="22"/>
          <w:szCs w:val="22"/>
        </w:rPr>
      </w:pPr>
      <w:r>
        <w:rPr>
          <w:sz w:val="22"/>
          <w:szCs w:val="22"/>
        </w:rPr>
        <w:t xml:space="preserve">1.2 </w:t>
      </w:r>
      <w:r w:rsidR="0023299E">
        <w:rPr>
          <w:sz w:val="22"/>
          <w:szCs w:val="22"/>
        </w:rPr>
        <w:t xml:space="preserve"> </w:t>
      </w:r>
      <w:r>
        <w:rPr>
          <w:sz w:val="22"/>
          <w:szCs w:val="22"/>
        </w:rPr>
        <w:t xml:space="preserve">Alyth Kindergarten recognises that effective and honest communication is essential if malpractice is to be effectively dealt with and the Kindergarten’s success ensured. </w:t>
      </w:r>
    </w:p>
    <w:p w:rsidR="00EE62DB" w:rsidRDefault="00EE62DB" w:rsidP="00F56A07">
      <w:pPr>
        <w:pStyle w:val="Default"/>
        <w:ind w:left="720" w:hanging="720"/>
        <w:jc w:val="both"/>
        <w:rPr>
          <w:sz w:val="22"/>
          <w:szCs w:val="22"/>
        </w:rPr>
      </w:pPr>
      <w:r>
        <w:rPr>
          <w:sz w:val="22"/>
          <w:szCs w:val="22"/>
        </w:rPr>
        <w:t xml:space="preserve">1.3 The policy aims to provide guidance to all those who work with or within the Kindergarten who may from time to time think that they need to raise with someone in confidence certain issues relating to the Kindergarten. </w:t>
      </w:r>
    </w:p>
    <w:p w:rsidR="00EE62DB" w:rsidRDefault="00EE62DB" w:rsidP="00F56A07">
      <w:pPr>
        <w:pStyle w:val="Default"/>
        <w:ind w:left="720" w:hanging="720"/>
        <w:jc w:val="both"/>
        <w:rPr>
          <w:sz w:val="22"/>
          <w:szCs w:val="22"/>
        </w:rPr>
      </w:pPr>
      <w:r>
        <w:rPr>
          <w:sz w:val="22"/>
          <w:szCs w:val="22"/>
        </w:rPr>
        <w:t xml:space="preserve">1.4 This policy is separate from the grievance procedure. Employees with complaints about their own personal circumstances should use the normal grievance procedure. If employees have concerns about malpractice within the Kindergarten then they should use the procedure outlined in this policy. </w:t>
      </w:r>
    </w:p>
    <w:p w:rsidR="0094528A" w:rsidRDefault="0023299E" w:rsidP="00F56A07">
      <w:pPr>
        <w:pStyle w:val="Default"/>
        <w:ind w:left="720" w:hanging="720"/>
        <w:jc w:val="both"/>
        <w:rPr>
          <w:sz w:val="22"/>
          <w:szCs w:val="22"/>
        </w:rPr>
      </w:pPr>
      <w:r>
        <w:rPr>
          <w:sz w:val="22"/>
          <w:szCs w:val="22"/>
        </w:rPr>
        <w:t>1.5  Advice Line Telephone: No 08000280285. Anyone can call the whistleblowing advice line if a member of staff feels that they have a concern about a child and are concerned about how that concern is being handled. Professionals should use the help line as soon as they believe:</w:t>
      </w:r>
    </w:p>
    <w:p w:rsidR="0023299E" w:rsidRDefault="0023299E" w:rsidP="0023299E">
      <w:pPr>
        <w:pStyle w:val="Default"/>
        <w:numPr>
          <w:ilvl w:val="1"/>
          <w:numId w:val="3"/>
        </w:numPr>
        <w:jc w:val="both"/>
        <w:rPr>
          <w:sz w:val="22"/>
          <w:szCs w:val="22"/>
        </w:rPr>
      </w:pPr>
      <w:r>
        <w:rPr>
          <w:sz w:val="22"/>
          <w:szCs w:val="22"/>
        </w:rPr>
        <w:t>Their own or another employer will cover it up</w:t>
      </w:r>
    </w:p>
    <w:p w:rsidR="0023299E" w:rsidRDefault="0023299E" w:rsidP="0023299E">
      <w:pPr>
        <w:pStyle w:val="Default"/>
        <w:numPr>
          <w:ilvl w:val="1"/>
          <w:numId w:val="3"/>
        </w:numPr>
        <w:jc w:val="both"/>
        <w:rPr>
          <w:sz w:val="22"/>
          <w:szCs w:val="22"/>
        </w:rPr>
      </w:pPr>
      <w:r>
        <w:rPr>
          <w:sz w:val="22"/>
          <w:szCs w:val="22"/>
        </w:rPr>
        <w:t>Their own employer will treat them unfairly for complaining</w:t>
      </w:r>
    </w:p>
    <w:p w:rsidR="0023299E" w:rsidRDefault="0023299E" w:rsidP="0023299E">
      <w:pPr>
        <w:pStyle w:val="Default"/>
        <w:numPr>
          <w:ilvl w:val="1"/>
          <w:numId w:val="3"/>
        </w:numPr>
        <w:jc w:val="both"/>
        <w:rPr>
          <w:sz w:val="22"/>
          <w:szCs w:val="22"/>
        </w:rPr>
      </w:pPr>
      <w:r>
        <w:rPr>
          <w:sz w:val="22"/>
          <w:szCs w:val="22"/>
        </w:rPr>
        <w:t>The concern has not been sorted out and the concern has already been disclosed.</w:t>
      </w:r>
    </w:p>
    <w:p w:rsidR="00EE62DB" w:rsidRDefault="00EE62DB" w:rsidP="00F56A07">
      <w:pPr>
        <w:pStyle w:val="Default"/>
        <w:ind w:left="720" w:hanging="720"/>
        <w:jc w:val="both"/>
        <w:rPr>
          <w:sz w:val="22"/>
          <w:szCs w:val="22"/>
        </w:rPr>
      </w:pPr>
    </w:p>
    <w:p w:rsidR="00EE62DB" w:rsidRDefault="00EE62DB" w:rsidP="00F56A07">
      <w:pPr>
        <w:pStyle w:val="Default"/>
        <w:jc w:val="both"/>
        <w:rPr>
          <w:sz w:val="22"/>
          <w:szCs w:val="22"/>
        </w:rPr>
      </w:pPr>
      <w:r>
        <w:rPr>
          <w:b/>
          <w:bCs/>
          <w:sz w:val="22"/>
          <w:szCs w:val="22"/>
        </w:rPr>
        <w:t xml:space="preserve">2.0 Principles </w:t>
      </w:r>
    </w:p>
    <w:p w:rsidR="00EE62DB" w:rsidRDefault="00EE62DB" w:rsidP="00F56A07">
      <w:pPr>
        <w:pStyle w:val="Default"/>
        <w:ind w:left="720" w:hanging="720"/>
        <w:jc w:val="both"/>
        <w:rPr>
          <w:sz w:val="22"/>
          <w:szCs w:val="22"/>
        </w:rPr>
      </w:pPr>
      <w:r>
        <w:rPr>
          <w:sz w:val="22"/>
          <w:szCs w:val="22"/>
        </w:rPr>
        <w:t xml:space="preserve">2.1 In almost all cases, raising issues internally will be the most appropriate course of action for employees to take. The Kindergarten expects all staff to make their best </w:t>
      </w:r>
      <w:r w:rsidR="0094528A">
        <w:rPr>
          <w:sz w:val="22"/>
          <w:szCs w:val="22"/>
        </w:rPr>
        <w:t>endeavours</w:t>
      </w:r>
      <w:r>
        <w:rPr>
          <w:sz w:val="22"/>
          <w:szCs w:val="22"/>
        </w:rPr>
        <w:t xml:space="preserve"> to raise concerns internally through the management structure to allow the Kindergarten to address concerns. </w:t>
      </w:r>
    </w:p>
    <w:p w:rsidR="00EE62DB" w:rsidRDefault="00EE62DB" w:rsidP="00F56A07">
      <w:pPr>
        <w:pStyle w:val="Default"/>
        <w:ind w:left="720" w:hanging="720"/>
        <w:jc w:val="both"/>
        <w:rPr>
          <w:sz w:val="22"/>
          <w:szCs w:val="22"/>
        </w:rPr>
      </w:pPr>
      <w:r>
        <w:rPr>
          <w:sz w:val="22"/>
          <w:szCs w:val="22"/>
        </w:rPr>
        <w:t xml:space="preserve">2.2 This policy does not introduce a general protection for whistle blowers which applies in all circumstances. It applies to employees who follow the procedure laid down in this document in disclosing specific categories of malpractice. </w:t>
      </w:r>
    </w:p>
    <w:p w:rsidR="00EE62DB" w:rsidRDefault="00EE62DB" w:rsidP="00F56A07">
      <w:pPr>
        <w:pStyle w:val="Default"/>
        <w:ind w:left="720" w:hanging="720"/>
        <w:jc w:val="both"/>
        <w:rPr>
          <w:sz w:val="22"/>
          <w:szCs w:val="22"/>
        </w:rPr>
      </w:pPr>
      <w:r>
        <w:rPr>
          <w:sz w:val="22"/>
          <w:szCs w:val="22"/>
        </w:rPr>
        <w:t xml:space="preserve">2.3 By knowing about malpractice at an early stage, the Kindergarten has a good chance of taking the necessary steps to safeguard the interests of staff and protect the Kindergarten. </w:t>
      </w:r>
    </w:p>
    <w:p w:rsidR="00EE62DB" w:rsidRDefault="00EE62DB" w:rsidP="00F56A07">
      <w:pPr>
        <w:pStyle w:val="Default"/>
        <w:ind w:left="720" w:hanging="720"/>
        <w:jc w:val="both"/>
        <w:rPr>
          <w:sz w:val="22"/>
          <w:szCs w:val="22"/>
        </w:rPr>
      </w:pPr>
    </w:p>
    <w:p w:rsidR="0031314B" w:rsidRDefault="0031314B" w:rsidP="00F56A07">
      <w:pPr>
        <w:pStyle w:val="Default"/>
        <w:ind w:left="720" w:hanging="720"/>
        <w:jc w:val="both"/>
        <w:rPr>
          <w:sz w:val="22"/>
          <w:szCs w:val="22"/>
        </w:rPr>
      </w:pPr>
    </w:p>
    <w:p w:rsidR="00EE62DB" w:rsidRDefault="00EE62DB" w:rsidP="00F56A07">
      <w:pPr>
        <w:pStyle w:val="Default"/>
        <w:jc w:val="both"/>
        <w:rPr>
          <w:b/>
          <w:bCs/>
          <w:sz w:val="22"/>
          <w:szCs w:val="22"/>
        </w:rPr>
      </w:pPr>
      <w:r>
        <w:rPr>
          <w:b/>
          <w:bCs/>
          <w:sz w:val="22"/>
          <w:szCs w:val="22"/>
        </w:rPr>
        <w:lastRenderedPageBreak/>
        <w:t xml:space="preserve">3.0 Procedure </w:t>
      </w:r>
    </w:p>
    <w:p w:rsidR="00EE62DB" w:rsidRDefault="00EE62DB" w:rsidP="00F56A07">
      <w:pPr>
        <w:pStyle w:val="Default"/>
        <w:jc w:val="both"/>
        <w:rPr>
          <w:sz w:val="22"/>
          <w:szCs w:val="22"/>
        </w:rPr>
      </w:pPr>
      <w:r>
        <w:rPr>
          <w:sz w:val="22"/>
          <w:szCs w:val="22"/>
        </w:rPr>
        <w:t xml:space="preserve">3.1 Subject matters of disclosure: </w:t>
      </w:r>
    </w:p>
    <w:p w:rsidR="00EE62DB" w:rsidRDefault="00EE62DB" w:rsidP="00F56A07">
      <w:pPr>
        <w:pStyle w:val="Default"/>
        <w:ind w:left="720" w:hanging="720"/>
        <w:jc w:val="both"/>
        <w:rPr>
          <w:sz w:val="22"/>
          <w:szCs w:val="22"/>
        </w:rPr>
      </w:pPr>
      <w:r>
        <w:rPr>
          <w:sz w:val="22"/>
          <w:szCs w:val="22"/>
        </w:rPr>
        <w:t xml:space="preserve">3.2 This policy will apply in cases where employees genuinely and in good faith believe that one of the following sets of circumstances is occurring, has occurred or may occur within the Kindergarten: </w:t>
      </w:r>
    </w:p>
    <w:p w:rsidR="00EE62DB" w:rsidRDefault="00EE62DB" w:rsidP="00F56A07">
      <w:pPr>
        <w:pStyle w:val="Default"/>
        <w:spacing w:before="20" w:after="20"/>
        <w:ind w:left="1080" w:hanging="360"/>
        <w:jc w:val="both"/>
        <w:rPr>
          <w:sz w:val="22"/>
          <w:szCs w:val="22"/>
        </w:rPr>
      </w:pPr>
      <w:r>
        <w:rPr>
          <w:sz w:val="22"/>
          <w:szCs w:val="22"/>
        </w:rPr>
        <w:t xml:space="preserve">• that a criminal offence has been committed, is being committed or is likely to be committed; </w:t>
      </w:r>
    </w:p>
    <w:p w:rsidR="00EE62DB" w:rsidRDefault="00EE62DB" w:rsidP="00F56A07">
      <w:pPr>
        <w:pStyle w:val="Default"/>
        <w:spacing w:before="20" w:after="20"/>
        <w:ind w:left="1080" w:hanging="360"/>
        <w:jc w:val="both"/>
        <w:rPr>
          <w:sz w:val="22"/>
          <w:szCs w:val="22"/>
        </w:rPr>
      </w:pPr>
      <w:r>
        <w:rPr>
          <w:sz w:val="22"/>
          <w:szCs w:val="22"/>
        </w:rPr>
        <w:t xml:space="preserve">• that a person has failed, is failing or is likely to fail to comply with any legal obligation to which he or she is subject; </w:t>
      </w:r>
    </w:p>
    <w:p w:rsidR="00EE62DB" w:rsidRDefault="00EE62DB" w:rsidP="00F56A07">
      <w:pPr>
        <w:pStyle w:val="Default"/>
        <w:spacing w:before="20" w:after="20"/>
        <w:ind w:left="1080" w:hanging="360"/>
        <w:jc w:val="both"/>
        <w:rPr>
          <w:sz w:val="22"/>
          <w:szCs w:val="22"/>
        </w:rPr>
      </w:pPr>
      <w:r>
        <w:rPr>
          <w:sz w:val="22"/>
          <w:szCs w:val="22"/>
        </w:rPr>
        <w:t xml:space="preserve">• that a miscarriage of justice has occurred, is occurring or is likely to occur; </w:t>
      </w:r>
    </w:p>
    <w:p w:rsidR="00EE62DB" w:rsidRDefault="00EE62DB" w:rsidP="00F56A07">
      <w:pPr>
        <w:pStyle w:val="Default"/>
        <w:spacing w:before="20" w:after="20"/>
        <w:ind w:left="1080" w:hanging="360"/>
        <w:jc w:val="both"/>
        <w:rPr>
          <w:sz w:val="22"/>
          <w:szCs w:val="22"/>
        </w:rPr>
      </w:pPr>
      <w:r>
        <w:rPr>
          <w:sz w:val="22"/>
          <w:szCs w:val="22"/>
        </w:rPr>
        <w:t xml:space="preserve">• that the health and safety of any individual has been, is being or is likely to be endangered; </w:t>
      </w:r>
    </w:p>
    <w:p w:rsidR="00EE62DB" w:rsidRDefault="00EE62DB" w:rsidP="00F56A07">
      <w:pPr>
        <w:pStyle w:val="Default"/>
        <w:spacing w:before="20" w:after="20"/>
        <w:ind w:left="1080" w:hanging="360"/>
        <w:jc w:val="both"/>
        <w:rPr>
          <w:sz w:val="22"/>
          <w:szCs w:val="22"/>
        </w:rPr>
      </w:pPr>
      <w:r>
        <w:rPr>
          <w:sz w:val="22"/>
          <w:szCs w:val="22"/>
        </w:rPr>
        <w:t>• that the working environment has been, is being or is likely to be damaged; or</w:t>
      </w:r>
    </w:p>
    <w:p w:rsidR="00EE62DB" w:rsidRDefault="00EE62DB" w:rsidP="00F56A07">
      <w:pPr>
        <w:pStyle w:val="Default"/>
        <w:spacing w:before="20" w:after="20"/>
        <w:ind w:left="1080" w:hanging="360"/>
        <w:jc w:val="both"/>
        <w:rPr>
          <w:sz w:val="22"/>
          <w:szCs w:val="22"/>
        </w:rPr>
      </w:pPr>
    </w:p>
    <w:p w:rsidR="00EE62DB" w:rsidRDefault="00EE62DB" w:rsidP="00F56A07">
      <w:pPr>
        <w:pStyle w:val="Default"/>
        <w:spacing w:before="20" w:after="20"/>
        <w:ind w:left="1080" w:hanging="360"/>
        <w:jc w:val="both"/>
        <w:rPr>
          <w:sz w:val="22"/>
          <w:szCs w:val="22"/>
        </w:rPr>
      </w:pPr>
      <w:r>
        <w:rPr>
          <w:sz w:val="22"/>
          <w:szCs w:val="22"/>
        </w:rPr>
        <w:t xml:space="preserve">• that information tending to show any matter falling within any one of the preceding clauses has been, is being or is likely to be deliberately concealed. </w:t>
      </w:r>
    </w:p>
    <w:p w:rsidR="00EE62DB" w:rsidRDefault="00EE62DB" w:rsidP="00F56A07">
      <w:pPr>
        <w:pStyle w:val="Default"/>
        <w:rPr>
          <w:sz w:val="22"/>
          <w:szCs w:val="22"/>
        </w:rPr>
      </w:pPr>
    </w:p>
    <w:p w:rsidR="00EE62DB" w:rsidRDefault="00EE62DB" w:rsidP="00F56A07">
      <w:pPr>
        <w:pStyle w:val="Default"/>
        <w:ind w:left="720" w:hanging="720"/>
        <w:jc w:val="both"/>
        <w:rPr>
          <w:sz w:val="22"/>
          <w:szCs w:val="22"/>
        </w:rPr>
      </w:pPr>
      <w:r>
        <w:rPr>
          <w:sz w:val="22"/>
          <w:szCs w:val="22"/>
        </w:rPr>
        <w:t xml:space="preserve">3.3 It is not necessary that employees prove the malpractice or misconduct which they allege, rather they must raise a reasonable suspicion. However they will not be protected from the consequences of making such a disclosure if, by doing so, they commit a criminal offence. </w:t>
      </w:r>
    </w:p>
    <w:p w:rsidR="00EE62DB" w:rsidRDefault="00EE62DB" w:rsidP="00F56A07">
      <w:pPr>
        <w:pStyle w:val="Default"/>
        <w:rPr>
          <w:sz w:val="22"/>
          <w:szCs w:val="22"/>
        </w:rPr>
      </w:pPr>
    </w:p>
    <w:p w:rsidR="00EE62DB" w:rsidRDefault="00EE62DB" w:rsidP="00F56A07">
      <w:pPr>
        <w:pStyle w:val="Default"/>
        <w:jc w:val="both"/>
        <w:rPr>
          <w:sz w:val="22"/>
          <w:szCs w:val="22"/>
        </w:rPr>
      </w:pPr>
      <w:r>
        <w:rPr>
          <w:b/>
          <w:bCs/>
          <w:sz w:val="22"/>
          <w:szCs w:val="22"/>
        </w:rPr>
        <w:t xml:space="preserve">4.0 How to raise concerns internally </w:t>
      </w:r>
    </w:p>
    <w:p w:rsidR="00EE62DB" w:rsidRDefault="00EE62DB" w:rsidP="00F56A07">
      <w:pPr>
        <w:pStyle w:val="Default"/>
        <w:ind w:left="720" w:hanging="720"/>
        <w:jc w:val="both"/>
        <w:rPr>
          <w:sz w:val="22"/>
          <w:szCs w:val="22"/>
        </w:rPr>
      </w:pPr>
      <w:r>
        <w:rPr>
          <w:sz w:val="22"/>
          <w:szCs w:val="22"/>
        </w:rPr>
        <w:t>4.1 Stage 1 - If employees wish to raise or discuss any issues which might fall into the above category they should normally raise this issue with the Head Teacher</w:t>
      </w:r>
      <w:r w:rsidR="00A11F3C">
        <w:rPr>
          <w:sz w:val="22"/>
          <w:szCs w:val="22"/>
        </w:rPr>
        <w:t>/Designated Safeguarding Officer</w:t>
      </w:r>
      <w:r>
        <w:rPr>
          <w:sz w:val="22"/>
          <w:szCs w:val="22"/>
        </w:rPr>
        <w:t xml:space="preserve"> or Deputy Head.</w:t>
      </w:r>
    </w:p>
    <w:p w:rsidR="00EE62DB" w:rsidRDefault="00EE62DB" w:rsidP="00F56A07">
      <w:pPr>
        <w:pStyle w:val="Default"/>
        <w:ind w:left="720" w:hanging="720"/>
        <w:jc w:val="both"/>
        <w:rPr>
          <w:sz w:val="22"/>
          <w:szCs w:val="22"/>
        </w:rPr>
      </w:pPr>
      <w:r>
        <w:rPr>
          <w:sz w:val="22"/>
          <w:szCs w:val="22"/>
        </w:rPr>
        <w:t>4.2 Stage 2 – Employees who are unable to raise the issue with the Head Teacher or Deputy Head should raise the issue with the Executive Member for the Kindergarten.</w:t>
      </w:r>
    </w:p>
    <w:p w:rsidR="00EE62DB" w:rsidRDefault="00EE62DB" w:rsidP="00F56A07">
      <w:pPr>
        <w:pStyle w:val="Default"/>
        <w:ind w:left="720" w:hanging="720"/>
        <w:jc w:val="both"/>
        <w:rPr>
          <w:sz w:val="22"/>
          <w:szCs w:val="22"/>
        </w:rPr>
      </w:pPr>
      <w:r>
        <w:rPr>
          <w:sz w:val="22"/>
          <w:szCs w:val="22"/>
        </w:rPr>
        <w:t xml:space="preserve">4.3 Stage 3 – If an employee has raised a concern and after the investigations is still concerned, or the matter is so serious that the employee cannot discuss it with either of the two persons named above, the employee should raise the matter with the Chair of the Synagogue. </w:t>
      </w:r>
    </w:p>
    <w:p w:rsidR="00EE62DB" w:rsidRDefault="00EE62DB" w:rsidP="00F56A07">
      <w:pPr>
        <w:pStyle w:val="Default"/>
        <w:ind w:left="720" w:hanging="720"/>
        <w:jc w:val="both"/>
        <w:rPr>
          <w:sz w:val="22"/>
          <w:szCs w:val="22"/>
        </w:rPr>
      </w:pPr>
    </w:p>
    <w:p w:rsidR="00EE62DB" w:rsidRDefault="00EE62DB" w:rsidP="00F56A07">
      <w:pPr>
        <w:pStyle w:val="Default"/>
        <w:jc w:val="both"/>
        <w:rPr>
          <w:sz w:val="22"/>
          <w:szCs w:val="22"/>
        </w:rPr>
      </w:pPr>
      <w:r>
        <w:rPr>
          <w:b/>
          <w:bCs/>
          <w:sz w:val="22"/>
          <w:szCs w:val="22"/>
        </w:rPr>
        <w:t xml:space="preserve">5.0 How a manager will respond </w:t>
      </w:r>
    </w:p>
    <w:p w:rsidR="00EE62DB" w:rsidRDefault="00EE62DB" w:rsidP="00F56A07">
      <w:pPr>
        <w:pStyle w:val="Default"/>
        <w:ind w:left="720" w:hanging="720"/>
        <w:jc w:val="both"/>
        <w:rPr>
          <w:sz w:val="22"/>
          <w:szCs w:val="22"/>
        </w:rPr>
      </w:pPr>
      <w:r>
        <w:rPr>
          <w:sz w:val="22"/>
          <w:szCs w:val="22"/>
        </w:rPr>
        <w:t xml:space="preserve">5.1 After a concern has been raised, the Kindergarten will decide how to respond in a reasonable and appropriate manner. Normally this will involve making internal enquires first, but it may be necessary to carry out an investigation at a later stage. </w:t>
      </w:r>
    </w:p>
    <w:p w:rsidR="00EE62DB" w:rsidRDefault="00EE62DB" w:rsidP="00F56A07">
      <w:pPr>
        <w:pStyle w:val="Default"/>
        <w:ind w:left="720" w:hanging="720"/>
        <w:jc w:val="both"/>
        <w:rPr>
          <w:sz w:val="22"/>
          <w:szCs w:val="22"/>
        </w:rPr>
      </w:pPr>
      <w:r>
        <w:rPr>
          <w:sz w:val="22"/>
          <w:szCs w:val="22"/>
        </w:rPr>
        <w:t xml:space="preserve">5.2 Whilst the Kindergarten hopes that such disclosures will never be necessary, it also recognises that it may find itself in circumstances which are new to it. Each case will be treated on its own facts. </w:t>
      </w:r>
    </w:p>
    <w:p w:rsidR="00EE62DB" w:rsidRDefault="00EE62DB" w:rsidP="00F56A07">
      <w:pPr>
        <w:pStyle w:val="Default"/>
        <w:ind w:left="720" w:hanging="720"/>
        <w:jc w:val="both"/>
        <w:rPr>
          <w:sz w:val="22"/>
          <w:szCs w:val="22"/>
        </w:rPr>
      </w:pPr>
    </w:p>
    <w:p w:rsidR="003618D9" w:rsidRDefault="003618D9" w:rsidP="00F56A07">
      <w:pPr>
        <w:pStyle w:val="Default"/>
        <w:jc w:val="both"/>
        <w:rPr>
          <w:b/>
          <w:bCs/>
          <w:sz w:val="22"/>
          <w:szCs w:val="22"/>
        </w:rPr>
      </w:pPr>
    </w:p>
    <w:p w:rsidR="003618D9" w:rsidRDefault="003618D9" w:rsidP="00F56A07">
      <w:pPr>
        <w:pStyle w:val="Default"/>
        <w:jc w:val="both"/>
        <w:rPr>
          <w:b/>
          <w:bCs/>
          <w:sz w:val="22"/>
          <w:szCs w:val="22"/>
        </w:rPr>
      </w:pPr>
    </w:p>
    <w:p w:rsidR="003618D9" w:rsidRDefault="003618D9" w:rsidP="003618D9">
      <w:pPr>
        <w:pStyle w:val="Default"/>
        <w:pageBreakBefore/>
        <w:jc w:val="both"/>
        <w:rPr>
          <w:sz w:val="22"/>
          <w:szCs w:val="22"/>
        </w:rPr>
      </w:pPr>
      <w:r>
        <w:rPr>
          <w:b/>
          <w:bCs/>
          <w:sz w:val="22"/>
          <w:szCs w:val="22"/>
        </w:rPr>
        <w:lastRenderedPageBreak/>
        <w:t xml:space="preserve">7.0 Employees’ responsibilities </w:t>
      </w:r>
    </w:p>
    <w:p w:rsidR="003618D9" w:rsidRDefault="003618D9" w:rsidP="003618D9">
      <w:pPr>
        <w:pStyle w:val="Default"/>
        <w:ind w:left="720" w:hanging="720"/>
        <w:jc w:val="both"/>
        <w:rPr>
          <w:sz w:val="22"/>
          <w:szCs w:val="22"/>
        </w:rPr>
      </w:pPr>
      <w:r>
        <w:rPr>
          <w:sz w:val="22"/>
          <w:szCs w:val="22"/>
        </w:rPr>
        <w:t xml:space="preserve">7.1 Employees may be required to attend a disciplinary or investigative hearing as a witness. </w:t>
      </w:r>
    </w:p>
    <w:p w:rsidR="003618D9" w:rsidRDefault="003618D9" w:rsidP="003618D9">
      <w:pPr>
        <w:pStyle w:val="Default"/>
        <w:ind w:left="720" w:hanging="720"/>
        <w:jc w:val="both"/>
        <w:rPr>
          <w:sz w:val="22"/>
          <w:szCs w:val="22"/>
        </w:rPr>
      </w:pPr>
      <w:r>
        <w:rPr>
          <w:sz w:val="22"/>
          <w:szCs w:val="22"/>
        </w:rPr>
        <w:t xml:space="preserve">7.2 Employees are expected to raise concerns internally where possible before raising these externally. </w:t>
      </w:r>
    </w:p>
    <w:p w:rsidR="003618D9" w:rsidRDefault="003618D9" w:rsidP="003618D9">
      <w:pPr>
        <w:pStyle w:val="Default"/>
        <w:ind w:left="720" w:hanging="720"/>
        <w:jc w:val="both"/>
        <w:rPr>
          <w:sz w:val="22"/>
          <w:szCs w:val="22"/>
        </w:rPr>
      </w:pPr>
      <w:r>
        <w:rPr>
          <w:sz w:val="22"/>
          <w:szCs w:val="22"/>
        </w:rPr>
        <w:t xml:space="preserve">7.3 Employees should be aware that the policy will apply where a disclosure is made in good faith and where they reasonably believe that the information disclosed and any allegation contained in it are substantially true. If any disclosure is made in bad faith (for instance, in order to cause disruption within the pre-school), or concerns information which an employee does not substantially believe is true, or indeed if the disclosure is made for personal gain, then such a disclosure will constitute a disciplinary offence for the purposes of the Kindergarten/NWRS’s Disciplinary Policy and Procedures and may constitute gross misconduct for which summary dismissal is the sanction. </w:t>
      </w:r>
    </w:p>
    <w:p w:rsidR="003618D9" w:rsidRDefault="003618D9" w:rsidP="003618D9">
      <w:pPr>
        <w:pStyle w:val="Default"/>
        <w:ind w:left="720" w:hanging="720"/>
        <w:jc w:val="both"/>
        <w:rPr>
          <w:sz w:val="22"/>
          <w:szCs w:val="22"/>
        </w:rPr>
      </w:pPr>
    </w:p>
    <w:p w:rsidR="003618D9" w:rsidRDefault="003618D9" w:rsidP="003618D9">
      <w:pPr>
        <w:pStyle w:val="Default"/>
        <w:rPr>
          <w:sz w:val="22"/>
          <w:szCs w:val="22"/>
        </w:rPr>
      </w:pPr>
      <w:r>
        <w:rPr>
          <w:b/>
          <w:bCs/>
          <w:sz w:val="22"/>
          <w:szCs w:val="22"/>
        </w:rPr>
        <w:t xml:space="preserve">8.0 Policy Review </w:t>
      </w:r>
    </w:p>
    <w:p w:rsidR="003618D9" w:rsidRDefault="003618D9" w:rsidP="003618D9">
      <w:pPr>
        <w:rPr>
          <w:rFonts w:ascii="Arial" w:hAnsi="Arial" w:cs="Arial"/>
          <w:sz w:val="22"/>
          <w:szCs w:val="22"/>
        </w:rPr>
      </w:pPr>
      <w:r w:rsidRPr="00F56A07">
        <w:rPr>
          <w:rFonts w:ascii="Arial" w:hAnsi="Arial" w:cs="Arial"/>
          <w:sz w:val="22"/>
          <w:szCs w:val="22"/>
        </w:rPr>
        <w:t>The operation and correct application of this policy wi</w:t>
      </w:r>
      <w:r>
        <w:rPr>
          <w:rFonts w:ascii="Arial" w:hAnsi="Arial" w:cs="Arial"/>
          <w:sz w:val="22"/>
          <w:szCs w:val="22"/>
        </w:rPr>
        <w:t>ll be reviewed annually</w:t>
      </w:r>
      <w:r w:rsidRPr="00F56A07">
        <w:rPr>
          <w:rFonts w:ascii="Arial" w:hAnsi="Arial" w:cs="Arial"/>
          <w:sz w:val="22"/>
          <w:szCs w:val="22"/>
        </w:rPr>
        <w:t>.</w:t>
      </w:r>
    </w:p>
    <w:p w:rsidR="003618D9" w:rsidRDefault="003618D9" w:rsidP="003618D9">
      <w:pPr>
        <w:spacing w:line="360" w:lineRule="auto"/>
        <w:rPr>
          <w:rFonts w:ascii="Arial" w:hAnsi="Arial" w:cs="Arial"/>
          <w:b/>
          <w:sz w:val="22"/>
          <w:szCs w:val="22"/>
        </w:rPr>
      </w:pPr>
    </w:p>
    <w:p w:rsidR="003618D9" w:rsidRDefault="003618D9" w:rsidP="003618D9">
      <w:pPr>
        <w:spacing w:line="360" w:lineRule="auto"/>
        <w:rPr>
          <w:rFonts w:ascii="Arial" w:hAnsi="Arial" w:cs="Arial"/>
          <w:b/>
          <w:sz w:val="22"/>
          <w:szCs w:val="22"/>
        </w:rPr>
      </w:pPr>
      <w:r>
        <w:rPr>
          <w:rFonts w:ascii="Arial" w:hAnsi="Arial" w:cs="Arial"/>
          <w:b/>
          <w:sz w:val="22"/>
          <w:szCs w:val="22"/>
        </w:rPr>
        <w:t>Legal framework</w:t>
      </w:r>
    </w:p>
    <w:p w:rsidR="003618D9" w:rsidRDefault="003618D9" w:rsidP="003618D9">
      <w:pPr>
        <w:spacing w:line="360" w:lineRule="auto"/>
        <w:rPr>
          <w:rFonts w:ascii="Arial" w:hAnsi="Arial" w:cs="Arial"/>
          <w:b/>
          <w:sz w:val="22"/>
          <w:szCs w:val="22"/>
        </w:rPr>
      </w:pPr>
    </w:p>
    <w:p w:rsidR="003618D9" w:rsidRDefault="003618D9" w:rsidP="003618D9">
      <w:pPr>
        <w:pStyle w:val="ListParagraph"/>
        <w:numPr>
          <w:ilvl w:val="0"/>
          <w:numId w:val="1"/>
        </w:numPr>
        <w:spacing w:line="360" w:lineRule="auto"/>
        <w:rPr>
          <w:rFonts w:ascii="Arial" w:hAnsi="Arial" w:cs="Arial"/>
          <w:color w:val="000000"/>
          <w:sz w:val="22"/>
          <w:szCs w:val="22"/>
        </w:rPr>
      </w:pPr>
      <w:r>
        <w:rPr>
          <w:rFonts w:ascii="Arial" w:hAnsi="Arial" w:cs="Arial"/>
          <w:color w:val="000000"/>
          <w:sz w:val="22"/>
          <w:szCs w:val="22"/>
        </w:rPr>
        <w:t>Working Together to Safeguarding Child, HMG  2006</w:t>
      </w:r>
    </w:p>
    <w:p w:rsidR="003618D9" w:rsidRDefault="003618D9" w:rsidP="003618D9">
      <w:pPr>
        <w:pStyle w:val="ListParagraph"/>
        <w:numPr>
          <w:ilvl w:val="0"/>
          <w:numId w:val="1"/>
        </w:numPr>
        <w:spacing w:line="360" w:lineRule="auto"/>
        <w:rPr>
          <w:rFonts w:ascii="Arial" w:hAnsi="Arial" w:cs="Arial"/>
          <w:color w:val="000000"/>
          <w:sz w:val="22"/>
          <w:szCs w:val="22"/>
        </w:rPr>
      </w:pPr>
      <w:r>
        <w:rPr>
          <w:rFonts w:ascii="Arial" w:hAnsi="Arial" w:cs="Arial"/>
          <w:color w:val="000000"/>
          <w:sz w:val="22"/>
          <w:szCs w:val="22"/>
        </w:rPr>
        <w:t>Revised April 2013</w:t>
      </w:r>
    </w:p>
    <w:p w:rsidR="003618D9" w:rsidRPr="00CC0A72" w:rsidRDefault="003618D9" w:rsidP="003618D9">
      <w:pPr>
        <w:pStyle w:val="ListParagraph"/>
        <w:numPr>
          <w:ilvl w:val="0"/>
          <w:numId w:val="1"/>
        </w:numPr>
        <w:spacing w:line="360" w:lineRule="auto"/>
        <w:rPr>
          <w:rFonts w:ascii="Arial" w:hAnsi="Arial" w:cs="Arial"/>
          <w:color w:val="000000"/>
          <w:sz w:val="22"/>
          <w:szCs w:val="22"/>
        </w:rPr>
      </w:pPr>
      <w:r w:rsidRPr="00CC0A72">
        <w:rPr>
          <w:rFonts w:ascii="Arial" w:hAnsi="Arial" w:cs="Arial"/>
          <w:color w:val="000000"/>
          <w:sz w:val="22"/>
          <w:szCs w:val="22"/>
        </w:rPr>
        <w:t>Data Protection Act (1998)</w:t>
      </w:r>
    </w:p>
    <w:p w:rsidR="00EE62DB" w:rsidRPr="00973281" w:rsidRDefault="00EE62DB" w:rsidP="000E19CD">
      <w:pPr>
        <w:spacing w:line="360" w:lineRule="auto"/>
        <w:rPr>
          <w:rFonts w:ascii="Arial" w:hAnsi="Arial" w:cs="Arial"/>
          <w:sz w:val="22"/>
          <w:szCs w:val="22"/>
        </w:rPr>
      </w:pPr>
    </w:p>
    <w:tbl>
      <w:tblPr>
        <w:tblW w:w="5000" w:type="pct"/>
        <w:tblLook w:val="01E0" w:firstRow="1" w:lastRow="1" w:firstColumn="1" w:lastColumn="1" w:noHBand="0" w:noVBand="0"/>
      </w:tblPr>
      <w:tblGrid>
        <w:gridCol w:w="4076"/>
        <w:gridCol w:w="2692"/>
        <w:gridCol w:w="2088"/>
      </w:tblGrid>
      <w:tr w:rsidR="00EE62DB" w:rsidRPr="00452363" w:rsidTr="00B011E3">
        <w:tc>
          <w:tcPr>
            <w:tcW w:w="2301" w:type="pct"/>
          </w:tcPr>
          <w:p w:rsidR="00EE62DB" w:rsidRDefault="00EE62DB" w:rsidP="00B96518">
            <w:pPr>
              <w:spacing w:line="360" w:lineRule="auto"/>
              <w:rPr>
                <w:rFonts w:ascii="Arial" w:hAnsi="Arial" w:cs="Arial"/>
                <w:sz w:val="22"/>
                <w:szCs w:val="22"/>
              </w:rPr>
            </w:pPr>
            <w:r w:rsidRPr="00E34CE1">
              <w:rPr>
                <w:rFonts w:ascii="Arial" w:hAnsi="Arial" w:cs="Arial"/>
                <w:sz w:val="22"/>
                <w:szCs w:val="22"/>
              </w:rPr>
              <w:t xml:space="preserve">This policy was adopted at a </w:t>
            </w:r>
          </w:p>
          <w:p w:rsidR="00EE62DB" w:rsidRPr="00E34CE1" w:rsidRDefault="00EE62DB" w:rsidP="00B96518">
            <w:pPr>
              <w:spacing w:line="360" w:lineRule="auto"/>
              <w:rPr>
                <w:rFonts w:ascii="Arial" w:hAnsi="Arial" w:cs="Arial"/>
              </w:rPr>
            </w:pPr>
            <w:r w:rsidRPr="00E34CE1">
              <w:rPr>
                <w:rFonts w:ascii="Arial" w:hAnsi="Arial" w:cs="Arial"/>
                <w:sz w:val="22"/>
                <w:szCs w:val="22"/>
              </w:rPr>
              <w:t xml:space="preserve">meeting </w:t>
            </w:r>
            <w:r>
              <w:rPr>
                <w:rFonts w:ascii="Arial" w:hAnsi="Arial" w:cs="Arial"/>
                <w:sz w:val="22"/>
                <w:szCs w:val="22"/>
              </w:rPr>
              <w:t>o</w:t>
            </w:r>
            <w:r w:rsidRPr="00E34CE1">
              <w:rPr>
                <w:rFonts w:ascii="Arial" w:hAnsi="Arial" w:cs="Arial"/>
                <w:sz w:val="22"/>
                <w:szCs w:val="22"/>
              </w:rPr>
              <w:t>f</w:t>
            </w:r>
          </w:p>
        </w:tc>
        <w:tc>
          <w:tcPr>
            <w:tcW w:w="1520" w:type="pct"/>
            <w:tcBorders>
              <w:bottom w:val="single" w:sz="4" w:space="0" w:color="4F81BD"/>
            </w:tcBorders>
          </w:tcPr>
          <w:p w:rsidR="00EE62DB" w:rsidRDefault="00EE62DB" w:rsidP="00B96518">
            <w:pPr>
              <w:spacing w:line="360" w:lineRule="auto"/>
              <w:rPr>
                <w:rFonts w:ascii="Arial" w:hAnsi="Arial" w:cs="Arial"/>
              </w:rPr>
            </w:pPr>
          </w:p>
          <w:p w:rsidR="00EE62DB" w:rsidRPr="00E34CE1" w:rsidRDefault="00EE62DB" w:rsidP="00B96518">
            <w:pPr>
              <w:spacing w:line="360" w:lineRule="auto"/>
              <w:rPr>
                <w:rFonts w:ascii="Arial" w:hAnsi="Arial" w:cs="Arial"/>
              </w:rPr>
            </w:pPr>
            <w:r>
              <w:rPr>
                <w:rFonts w:ascii="Arial" w:hAnsi="Arial" w:cs="Arial"/>
              </w:rPr>
              <w:t>Alyth Kindergarten</w:t>
            </w:r>
          </w:p>
        </w:tc>
        <w:tc>
          <w:tcPr>
            <w:tcW w:w="1179" w:type="pct"/>
          </w:tcPr>
          <w:p w:rsidR="00EE62DB" w:rsidRDefault="00EE62DB" w:rsidP="00B96518">
            <w:pPr>
              <w:spacing w:line="360" w:lineRule="auto"/>
              <w:rPr>
                <w:rFonts w:ascii="Arial" w:hAnsi="Arial" w:cs="Arial"/>
                <w:sz w:val="22"/>
                <w:szCs w:val="22"/>
              </w:rPr>
            </w:pPr>
          </w:p>
          <w:p w:rsidR="00EE62DB" w:rsidRPr="00E34CE1" w:rsidRDefault="00EE62DB" w:rsidP="00B96518">
            <w:pPr>
              <w:spacing w:line="360" w:lineRule="auto"/>
              <w:rPr>
                <w:rFonts w:ascii="Arial" w:hAnsi="Arial" w:cs="Arial"/>
              </w:rPr>
            </w:pPr>
            <w:r w:rsidRPr="00E34CE1">
              <w:rPr>
                <w:rFonts w:ascii="Arial" w:hAnsi="Arial" w:cs="Arial"/>
                <w:sz w:val="22"/>
                <w:szCs w:val="22"/>
              </w:rPr>
              <w:t>name of setting</w:t>
            </w:r>
          </w:p>
        </w:tc>
      </w:tr>
      <w:tr w:rsidR="00EE62DB" w:rsidRPr="00452363" w:rsidTr="00B011E3">
        <w:tc>
          <w:tcPr>
            <w:tcW w:w="2301" w:type="pct"/>
          </w:tcPr>
          <w:p w:rsidR="00EE62DB" w:rsidRPr="00E34CE1" w:rsidRDefault="00EE62DB" w:rsidP="00B96518">
            <w:pPr>
              <w:spacing w:line="360" w:lineRule="auto"/>
              <w:rPr>
                <w:rFonts w:ascii="Arial" w:hAnsi="Arial" w:cs="Arial"/>
              </w:rPr>
            </w:pPr>
            <w:r w:rsidRPr="00E34CE1">
              <w:rPr>
                <w:rFonts w:ascii="Arial" w:hAnsi="Arial" w:cs="Arial"/>
                <w:sz w:val="22"/>
                <w:szCs w:val="22"/>
              </w:rPr>
              <w:t>Held on</w:t>
            </w:r>
          </w:p>
        </w:tc>
        <w:tc>
          <w:tcPr>
            <w:tcW w:w="1520" w:type="pct"/>
            <w:tcBorders>
              <w:top w:val="single" w:sz="4" w:space="0" w:color="4F81BD"/>
              <w:bottom w:val="single" w:sz="4" w:space="0" w:color="4F81BD"/>
            </w:tcBorders>
          </w:tcPr>
          <w:p w:rsidR="00EE62DB" w:rsidRPr="00E34CE1" w:rsidRDefault="00EE62DB" w:rsidP="00B96518">
            <w:pPr>
              <w:spacing w:line="360" w:lineRule="auto"/>
              <w:rPr>
                <w:rFonts w:ascii="Arial" w:hAnsi="Arial" w:cs="Arial"/>
              </w:rPr>
            </w:pPr>
            <w:r>
              <w:rPr>
                <w:rFonts w:ascii="Arial" w:hAnsi="Arial" w:cs="Arial"/>
              </w:rPr>
              <w:t>11 March 2014</w:t>
            </w:r>
          </w:p>
        </w:tc>
        <w:tc>
          <w:tcPr>
            <w:tcW w:w="1179" w:type="pct"/>
          </w:tcPr>
          <w:p w:rsidR="00EE62DB" w:rsidRPr="00E34CE1" w:rsidRDefault="00EE62DB" w:rsidP="00B96518">
            <w:pPr>
              <w:spacing w:line="360" w:lineRule="auto"/>
              <w:rPr>
                <w:rFonts w:ascii="Arial" w:hAnsi="Arial" w:cs="Arial"/>
              </w:rPr>
            </w:pPr>
            <w:r w:rsidRPr="00E34CE1">
              <w:rPr>
                <w:rFonts w:ascii="Arial" w:hAnsi="Arial" w:cs="Arial"/>
                <w:sz w:val="22"/>
                <w:szCs w:val="22"/>
              </w:rPr>
              <w:t>(date)</w:t>
            </w:r>
          </w:p>
        </w:tc>
      </w:tr>
      <w:tr w:rsidR="00EE62DB" w:rsidRPr="00452363" w:rsidTr="00B011E3">
        <w:tc>
          <w:tcPr>
            <w:tcW w:w="2301" w:type="pct"/>
          </w:tcPr>
          <w:p w:rsidR="00EE62DB" w:rsidRPr="00E34CE1" w:rsidRDefault="00EE62DB" w:rsidP="00B96518">
            <w:pPr>
              <w:spacing w:line="360" w:lineRule="auto"/>
              <w:rPr>
                <w:rFonts w:ascii="Arial" w:hAnsi="Arial" w:cs="Arial"/>
              </w:rPr>
            </w:pPr>
            <w:r w:rsidRPr="00E34CE1">
              <w:rPr>
                <w:rFonts w:ascii="Arial" w:hAnsi="Arial" w:cs="Arial"/>
                <w:sz w:val="22"/>
                <w:szCs w:val="22"/>
              </w:rPr>
              <w:t>Date to be reviewed</w:t>
            </w:r>
          </w:p>
        </w:tc>
        <w:tc>
          <w:tcPr>
            <w:tcW w:w="1520" w:type="pct"/>
            <w:tcBorders>
              <w:top w:val="single" w:sz="4" w:space="0" w:color="4F81BD"/>
              <w:bottom w:val="single" w:sz="4" w:space="0" w:color="4F81BD"/>
            </w:tcBorders>
          </w:tcPr>
          <w:tbl>
            <w:tblPr>
              <w:tblW w:w="5000" w:type="pct"/>
              <w:tblLook w:val="01E0" w:firstRow="1" w:lastRow="1" w:firstColumn="1" w:lastColumn="1" w:noHBand="0" w:noVBand="0"/>
            </w:tblPr>
            <w:tblGrid>
              <w:gridCol w:w="2476"/>
            </w:tblGrid>
            <w:tr w:rsidR="00C04A01" w:rsidTr="00C04A01">
              <w:tc>
                <w:tcPr>
                  <w:tcW w:w="1742" w:type="pct"/>
                  <w:tcBorders>
                    <w:top w:val="single" w:sz="4" w:space="0" w:color="4F81BD"/>
                    <w:left w:val="nil"/>
                    <w:bottom w:val="single" w:sz="4" w:space="0" w:color="4F81BD"/>
                    <w:right w:val="nil"/>
                  </w:tcBorders>
                  <w:hideMark/>
                </w:tcPr>
                <w:p w:rsidR="00C04A01" w:rsidRDefault="00C04A01" w:rsidP="00C04A01">
                  <w:pPr>
                    <w:spacing w:line="360" w:lineRule="auto"/>
                    <w:rPr>
                      <w:rFonts w:ascii="Arial" w:hAnsi="Arial" w:cs="Arial"/>
                      <w:lang w:val="en-GB" w:eastAsia="en-GB"/>
                    </w:rPr>
                  </w:pPr>
                  <w:r>
                    <w:rPr>
                      <w:rFonts w:ascii="Arial" w:hAnsi="Arial" w:cs="Arial"/>
                    </w:rPr>
                    <w:t>Reviewed Yearly</w:t>
                  </w:r>
                </w:p>
              </w:tc>
            </w:tr>
            <w:tr w:rsidR="00C04A01" w:rsidTr="00C04A01">
              <w:tc>
                <w:tcPr>
                  <w:tcW w:w="1742" w:type="pct"/>
                  <w:tcBorders>
                    <w:top w:val="single" w:sz="4" w:space="0" w:color="4F81BD"/>
                    <w:left w:val="nil"/>
                    <w:bottom w:val="single" w:sz="4" w:space="0" w:color="4F81BD"/>
                    <w:right w:val="nil"/>
                  </w:tcBorders>
                  <w:hideMark/>
                </w:tcPr>
                <w:p w:rsidR="00C04A01" w:rsidRDefault="00C04A01" w:rsidP="00C04A01">
                  <w:pPr>
                    <w:spacing w:line="360" w:lineRule="auto"/>
                    <w:rPr>
                      <w:rFonts w:ascii="Arial" w:hAnsi="Arial" w:cs="Arial"/>
                    </w:rPr>
                  </w:pPr>
                  <w:r>
                    <w:rPr>
                      <w:rFonts w:ascii="Arial" w:hAnsi="Arial" w:cs="Arial"/>
                    </w:rPr>
                    <w:t>23.05.17</w:t>
                  </w:r>
                </w:p>
              </w:tc>
            </w:tr>
          </w:tbl>
          <w:p w:rsidR="00EE62DB" w:rsidRPr="00E34CE1" w:rsidRDefault="00EE62DB" w:rsidP="00B96518">
            <w:pPr>
              <w:spacing w:line="360" w:lineRule="auto"/>
              <w:rPr>
                <w:rFonts w:ascii="Arial" w:hAnsi="Arial" w:cs="Arial"/>
              </w:rPr>
            </w:pPr>
            <w:bookmarkStart w:id="0" w:name="_GoBack"/>
            <w:bookmarkEnd w:id="0"/>
          </w:p>
        </w:tc>
        <w:tc>
          <w:tcPr>
            <w:tcW w:w="1179" w:type="pct"/>
          </w:tcPr>
          <w:p w:rsidR="00EE62DB" w:rsidRPr="00E34CE1" w:rsidRDefault="00EE62DB" w:rsidP="00B96518">
            <w:pPr>
              <w:spacing w:line="360" w:lineRule="auto"/>
              <w:rPr>
                <w:rFonts w:ascii="Arial" w:hAnsi="Arial" w:cs="Arial"/>
              </w:rPr>
            </w:pPr>
            <w:r w:rsidRPr="00E34CE1">
              <w:rPr>
                <w:rFonts w:ascii="Arial" w:hAnsi="Arial" w:cs="Arial"/>
                <w:sz w:val="22"/>
                <w:szCs w:val="22"/>
              </w:rPr>
              <w:t>(date)</w:t>
            </w:r>
          </w:p>
        </w:tc>
      </w:tr>
      <w:tr w:rsidR="00EE62DB" w:rsidRPr="00452363" w:rsidTr="00B96518">
        <w:tc>
          <w:tcPr>
            <w:tcW w:w="2301" w:type="pct"/>
          </w:tcPr>
          <w:p w:rsidR="00EE62DB" w:rsidRPr="00E34CE1" w:rsidRDefault="00EE62DB" w:rsidP="00B96518">
            <w:pPr>
              <w:spacing w:line="360" w:lineRule="auto"/>
              <w:rPr>
                <w:rFonts w:ascii="Arial" w:hAnsi="Arial" w:cs="Arial"/>
              </w:rPr>
            </w:pPr>
            <w:r w:rsidRPr="00E34CE1">
              <w:rPr>
                <w:rFonts w:ascii="Arial" w:hAnsi="Arial" w:cs="Arial"/>
                <w:sz w:val="22"/>
                <w:szCs w:val="22"/>
              </w:rPr>
              <w:t>Signed on behalf of the management committee</w:t>
            </w:r>
          </w:p>
        </w:tc>
        <w:tc>
          <w:tcPr>
            <w:tcW w:w="2699" w:type="pct"/>
            <w:gridSpan w:val="2"/>
            <w:tcBorders>
              <w:bottom w:val="single" w:sz="4" w:space="0" w:color="4F81BD"/>
            </w:tcBorders>
          </w:tcPr>
          <w:p w:rsidR="00EE62DB" w:rsidRPr="00E34CE1" w:rsidRDefault="00EE62DB" w:rsidP="00B96518">
            <w:pPr>
              <w:spacing w:line="360" w:lineRule="auto"/>
              <w:rPr>
                <w:rFonts w:ascii="Arial" w:hAnsi="Arial" w:cs="Arial"/>
              </w:rPr>
            </w:pPr>
          </w:p>
        </w:tc>
      </w:tr>
      <w:tr w:rsidR="00EE62DB" w:rsidRPr="00452363" w:rsidTr="00B965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E62DB" w:rsidRPr="00E34CE1" w:rsidRDefault="00EE62DB" w:rsidP="00B96518">
            <w:pPr>
              <w:spacing w:line="360" w:lineRule="auto"/>
              <w:rPr>
                <w:rFonts w:ascii="Arial" w:hAnsi="Arial" w:cs="Arial"/>
              </w:rPr>
            </w:pPr>
            <w:r w:rsidRPr="00E34CE1">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rsidR="00EE62DB" w:rsidRPr="00E34CE1" w:rsidRDefault="00EE62DB" w:rsidP="00B96518">
            <w:pPr>
              <w:spacing w:line="360" w:lineRule="auto"/>
              <w:rPr>
                <w:rFonts w:ascii="Arial" w:hAnsi="Arial" w:cs="Arial"/>
              </w:rPr>
            </w:pPr>
            <w:r>
              <w:rPr>
                <w:rFonts w:ascii="Arial" w:hAnsi="Arial" w:cs="Arial"/>
              </w:rPr>
              <w:t>Nicola Feuchtwang</w:t>
            </w:r>
          </w:p>
        </w:tc>
      </w:tr>
      <w:tr w:rsidR="00EE62DB" w:rsidRPr="00452363" w:rsidTr="00B965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E62DB" w:rsidRPr="00E34CE1" w:rsidRDefault="00EE62DB" w:rsidP="00B96518">
            <w:pPr>
              <w:spacing w:line="360" w:lineRule="auto"/>
              <w:rPr>
                <w:rFonts w:ascii="Arial" w:hAnsi="Arial" w:cs="Arial"/>
              </w:rPr>
            </w:pPr>
            <w:r w:rsidRPr="00E34CE1">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rsidR="00EE62DB" w:rsidRDefault="00EE62DB" w:rsidP="00B96518">
            <w:pPr>
              <w:spacing w:line="360" w:lineRule="auto"/>
              <w:rPr>
                <w:rFonts w:ascii="Arial" w:hAnsi="Arial" w:cs="Arial"/>
              </w:rPr>
            </w:pPr>
            <w:r>
              <w:rPr>
                <w:rFonts w:ascii="Arial" w:hAnsi="Arial" w:cs="Arial"/>
              </w:rPr>
              <w:t>Executive Member for Kindergarten Chair,</w:t>
            </w:r>
          </w:p>
          <w:p w:rsidR="00EE62DB" w:rsidRPr="00E34CE1" w:rsidRDefault="00EE62DB" w:rsidP="00B96518">
            <w:pPr>
              <w:spacing w:line="360" w:lineRule="auto"/>
              <w:rPr>
                <w:rFonts w:ascii="Arial" w:hAnsi="Arial" w:cs="Arial"/>
              </w:rPr>
            </w:pPr>
            <w:r>
              <w:rPr>
                <w:rFonts w:ascii="Arial" w:hAnsi="Arial" w:cs="Arial"/>
              </w:rPr>
              <w:t>Alyth Kindergarten Management Board</w:t>
            </w:r>
          </w:p>
        </w:tc>
      </w:tr>
    </w:tbl>
    <w:p w:rsidR="00EE62DB" w:rsidRDefault="00EE62DB" w:rsidP="00F56A07">
      <w:pPr>
        <w:rPr>
          <w:rFonts w:ascii="Arial" w:hAnsi="Arial" w:cs="Arial"/>
        </w:rPr>
      </w:pPr>
    </w:p>
    <w:p w:rsidR="00EE62DB" w:rsidRDefault="00EE62DB" w:rsidP="00F56A07">
      <w:pPr>
        <w:rPr>
          <w:rFonts w:ascii="Arial" w:hAnsi="Arial" w:cs="Arial"/>
        </w:rPr>
      </w:pPr>
    </w:p>
    <w:p w:rsidR="00EE62DB" w:rsidRPr="00161E85" w:rsidRDefault="00EE62DB" w:rsidP="00F56A07">
      <w:pPr>
        <w:rPr>
          <w:rFonts w:ascii="Arial" w:hAnsi="Arial" w:cs="Arial"/>
          <w:sz w:val="20"/>
          <w:szCs w:val="20"/>
        </w:rPr>
      </w:pPr>
      <w:r w:rsidRPr="00161E85">
        <w:rPr>
          <w:rFonts w:ascii="Arial" w:hAnsi="Arial" w:cs="Arial"/>
          <w:sz w:val="20"/>
          <w:szCs w:val="20"/>
        </w:rPr>
        <w:t xml:space="preserve">Policy adapted in 2013 from the Pre-School </w:t>
      </w:r>
      <w:r>
        <w:rPr>
          <w:rFonts w:ascii="Arial" w:hAnsi="Arial" w:cs="Arial"/>
          <w:sz w:val="20"/>
          <w:szCs w:val="20"/>
        </w:rPr>
        <w:t>L</w:t>
      </w:r>
      <w:r w:rsidRPr="00161E85">
        <w:rPr>
          <w:rFonts w:ascii="Arial" w:hAnsi="Arial" w:cs="Arial"/>
          <w:sz w:val="20"/>
          <w:szCs w:val="20"/>
        </w:rPr>
        <w:t>earning Alliance Policy.</w:t>
      </w:r>
    </w:p>
    <w:p w:rsidR="00EE62DB" w:rsidRPr="00161E85" w:rsidRDefault="00EE62DB" w:rsidP="00F56A07">
      <w:pPr>
        <w:rPr>
          <w:rFonts w:ascii="Arial" w:hAnsi="Arial" w:cs="Arial"/>
          <w:sz w:val="20"/>
          <w:szCs w:val="20"/>
        </w:rPr>
      </w:pPr>
      <w:r w:rsidRPr="00161E85">
        <w:rPr>
          <w:rFonts w:ascii="Arial" w:hAnsi="Arial" w:cs="Arial"/>
          <w:sz w:val="20"/>
          <w:szCs w:val="20"/>
        </w:rPr>
        <w:t>PSLA is registered as an Educational Charity.</w:t>
      </w:r>
    </w:p>
    <w:sectPr w:rsidR="00EE62DB" w:rsidRPr="00161E85" w:rsidSect="00EE62D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DB" w:rsidRDefault="00EE62DB">
      <w:r>
        <w:separator/>
      </w:r>
    </w:p>
  </w:endnote>
  <w:endnote w:type="continuationSeparator" w:id="0">
    <w:p w:rsidR="00EE62DB" w:rsidRDefault="00EE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DB" w:rsidRDefault="00EE62DB" w:rsidP="001E1EBF">
    <w:pPr>
      <w:pStyle w:val="Footer"/>
      <w:jc w:val="right"/>
    </w:pPr>
    <w:r>
      <w:rPr>
        <w:rStyle w:val="PageNumber"/>
      </w:rPr>
      <w:fldChar w:fldCharType="begin"/>
    </w:r>
    <w:r>
      <w:rPr>
        <w:rStyle w:val="PageNumber"/>
      </w:rPr>
      <w:instrText xml:space="preserve"> PAGE </w:instrText>
    </w:r>
    <w:r>
      <w:rPr>
        <w:rStyle w:val="PageNumber"/>
      </w:rPr>
      <w:fldChar w:fldCharType="separate"/>
    </w:r>
    <w:r w:rsidR="00C04A0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DB" w:rsidRDefault="00EE62DB">
      <w:r>
        <w:separator/>
      </w:r>
    </w:p>
  </w:footnote>
  <w:footnote w:type="continuationSeparator" w:id="0">
    <w:p w:rsidR="00EE62DB" w:rsidRDefault="00EE6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DC" w:rsidRPr="00400D6C" w:rsidRDefault="002334DC" w:rsidP="002334DC">
    <w:pPr>
      <w:pBdr>
        <w:top w:val="single" w:sz="4" w:space="1" w:color="4F81BD"/>
        <w:left w:val="single" w:sz="4" w:space="0" w:color="4F81BD"/>
        <w:bottom w:val="single" w:sz="4" w:space="1" w:color="4F81BD"/>
        <w:right w:val="single" w:sz="4" w:space="4" w:color="4F81BD"/>
      </w:pBdr>
      <w:spacing w:before="120" w:after="120"/>
      <w:rPr>
        <w:rFonts w:ascii="Arial" w:hAnsi="Arial"/>
        <w:b/>
        <w:color w:val="4F81BD"/>
      </w:rPr>
    </w:pPr>
    <w:r w:rsidRPr="00400D6C">
      <w:rPr>
        <w:rFonts w:ascii="Arial" w:hAnsi="Arial"/>
        <w:b/>
        <w:color w:val="4F81BD"/>
      </w:rPr>
      <w:t>General Welfare Requirement: Safeguarding and Promoting Children’s Welfare</w:t>
    </w:r>
  </w:p>
  <w:p w:rsidR="002334DC" w:rsidRPr="00400D6C" w:rsidRDefault="002334DC" w:rsidP="002334DC">
    <w:pPr>
      <w:pBdr>
        <w:top w:val="single" w:sz="4" w:space="1" w:color="4F81BD"/>
        <w:left w:val="single" w:sz="4" w:space="0" w:color="4F81BD"/>
        <w:bottom w:val="single" w:sz="4" w:space="1" w:color="4F81BD"/>
        <w:right w:val="single" w:sz="4" w:space="4" w:color="4F81BD"/>
      </w:pBdr>
      <w:spacing w:before="120" w:after="120"/>
      <w:rPr>
        <w:rFonts w:ascii="Arial" w:hAnsi="Arial"/>
        <w:color w:val="4F81BD"/>
      </w:rPr>
    </w:pPr>
    <w:r w:rsidRPr="00400D6C">
      <w:rPr>
        <w:rFonts w:ascii="Arial" w:hAnsi="Arial"/>
        <w:color w:val="4F81BD"/>
      </w:rPr>
      <w:t xml:space="preserve">The provider must take necessary steps to safeguard and promote </w:t>
    </w:r>
    <w:r>
      <w:rPr>
        <w:rFonts w:ascii="Arial" w:hAnsi="Arial"/>
        <w:color w:val="4F81BD"/>
      </w:rPr>
      <w:t xml:space="preserve">the </w:t>
    </w:r>
    <w:r w:rsidRPr="00400D6C">
      <w:rPr>
        <w:rFonts w:ascii="Arial" w:hAnsi="Arial"/>
        <w:color w:val="4F81BD"/>
      </w:rPr>
      <w:t>welfare of children.</w:t>
    </w:r>
  </w:p>
  <w:p w:rsidR="002334DC" w:rsidRDefault="00233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F43"/>
    <w:multiLevelType w:val="hybridMultilevel"/>
    <w:tmpl w:val="40987C1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356F18"/>
    <w:multiLevelType w:val="hybridMultilevel"/>
    <w:tmpl w:val="6582AEF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245A42"/>
    <w:multiLevelType w:val="hybridMultilevel"/>
    <w:tmpl w:val="BCDAA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A07"/>
    <w:rsid w:val="00025B99"/>
    <w:rsid w:val="000E19CD"/>
    <w:rsid w:val="00161E85"/>
    <w:rsid w:val="001E1EBF"/>
    <w:rsid w:val="001E2481"/>
    <w:rsid w:val="0023299E"/>
    <w:rsid w:val="002334DC"/>
    <w:rsid w:val="002B3877"/>
    <w:rsid w:val="00310005"/>
    <w:rsid w:val="0031314B"/>
    <w:rsid w:val="00313C13"/>
    <w:rsid w:val="003618D9"/>
    <w:rsid w:val="00452363"/>
    <w:rsid w:val="005B4970"/>
    <w:rsid w:val="00685293"/>
    <w:rsid w:val="007D7FEF"/>
    <w:rsid w:val="00814DF1"/>
    <w:rsid w:val="008E25C2"/>
    <w:rsid w:val="009237FC"/>
    <w:rsid w:val="0094528A"/>
    <w:rsid w:val="00973281"/>
    <w:rsid w:val="009D06EA"/>
    <w:rsid w:val="00A11F3C"/>
    <w:rsid w:val="00AA6890"/>
    <w:rsid w:val="00B011E3"/>
    <w:rsid w:val="00B60554"/>
    <w:rsid w:val="00B96518"/>
    <w:rsid w:val="00BA4A7B"/>
    <w:rsid w:val="00BF3ED3"/>
    <w:rsid w:val="00C04A01"/>
    <w:rsid w:val="00CB6FA6"/>
    <w:rsid w:val="00CC0A72"/>
    <w:rsid w:val="00D57C7F"/>
    <w:rsid w:val="00DD0FA1"/>
    <w:rsid w:val="00DF3A79"/>
    <w:rsid w:val="00E137BC"/>
    <w:rsid w:val="00E23DD5"/>
    <w:rsid w:val="00E34CE1"/>
    <w:rsid w:val="00EE62DB"/>
    <w:rsid w:val="00F5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A8A20C-D65F-4F85-83EB-CA2C59C9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val="en-US" w:eastAsia="en-US"/>
    </w:rPr>
  </w:style>
  <w:style w:type="paragraph" w:styleId="Heading3">
    <w:name w:val="heading 3"/>
    <w:basedOn w:val="Normal"/>
    <w:next w:val="Normal"/>
    <w:link w:val="Heading3Char"/>
    <w:uiPriority w:val="9"/>
    <w:qFormat/>
    <w:rsid w:val="002B3877"/>
    <w:pPr>
      <w:keepNext/>
      <w:spacing w:before="240" w:after="60"/>
      <w:outlineLvl w:val="2"/>
    </w:pPr>
    <w:rPr>
      <w:rFonts w:ascii="Cambria" w:hAnsi="Cambria"/>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2B3877"/>
    <w:rPr>
      <w:rFonts w:ascii="Cambria" w:hAnsi="Cambria"/>
      <w:b/>
      <w:sz w:val="26"/>
      <w:lang w:val="en-GB" w:eastAsia="en-GB"/>
    </w:rPr>
  </w:style>
  <w:style w:type="paragraph" w:customStyle="1" w:styleId="Default">
    <w:name w:val="Default"/>
    <w:rsid w:val="00F56A0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1E1EBF"/>
    <w:pPr>
      <w:tabs>
        <w:tab w:val="center" w:pos="4320"/>
        <w:tab w:val="right" w:pos="8640"/>
      </w:tabs>
    </w:pPr>
  </w:style>
  <w:style w:type="character" w:customStyle="1" w:styleId="HeaderChar">
    <w:name w:val="Header Char"/>
    <w:basedOn w:val="DefaultParagraphFont"/>
    <w:link w:val="Header"/>
    <w:uiPriority w:val="99"/>
    <w:semiHidden/>
    <w:rsid w:val="00043DC3"/>
    <w:rPr>
      <w:rFonts w:ascii="Comic Sans MS" w:hAnsi="Comic Sans MS"/>
      <w:sz w:val="24"/>
      <w:szCs w:val="24"/>
      <w:lang w:val="en-US" w:eastAsia="en-US"/>
    </w:rPr>
  </w:style>
  <w:style w:type="paragraph" w:styleId="Footer">
    <w:name w:val="footer"/>
    <w:basedOn w:val="Normal"/>
    <w:link w:val="FooterChar"/>
    <w:uiPriority w:val="99"/>
    <w:rsid w:val="001E1EBF"/>
    <w:pPr>
      <w:tabs>
        <w:tab w:val="center" w:pos="4320"/>
        <w:tab w:val="right" w:pos="8640"/>
      </w:tabs>
    </w:pPr>
  </w:style>
  <w:style w:type="character" w:customStyle="1" w:styleId="FooterChar">
    <w:name w:val="Footer Char"/>
    <w:basedOn w:val="DefaultParagraphFont"/>
    <w:link w:val="Footer"/>
    <w:uiPriority w:val="99"/>
    <w:semiHidden/>
    <w:rsid w:val="00043DC3"/>
    <w:rPr>
      <w:rFonts w:ascii="Comic Sans MS" w:hAnsi="Comic Sans MS"/>
      <w:sz w:val="24"/>
      <w:szCs w:val="24"/>
      <w:lang w:val="en-US" w:eastAsia="en-US"/>
    </w:rPr>
  </w:style>
  <w:style w:type="character" w:styleId="PageNumber">
    <w:name w:val="page number"/>
    <w:basedOn w:val="DefaultParagraphFont"/>
    <w:uiPriority w:val="99"/>
    <w:rsid w:val="001E1EBF"/>
    <w:rPr>
      <w:rFonts w:cs="Times New Roman"/>
    </w:rPr>
  </w:style>
  <w:style w:type="paragraph" w:styleId="ListParagraph">
    <w:name w:val="List Paragraph"/>
    <w:basedOn w:val="Normal"/>
    <w:uiPriority w:val="34"/>
    <w:qFormat/>
    <w:rsid w:val="009237FC"/>
    <w:pPr>
      <w:ind w:left="720"/>
      <w:contextualSpacing/>
    </w:pPr>
    <w:rPr>
      <w:rFonts w:ascii="Times New Roman" w:hAnsi="Times New Roman"/>
      <w:lang w:val="en-GB" w:eastAsia="en-GB"/>
    </w:rPr>
  </w:style>
  <w:style w:type="paragraph" w:styleId="BalloonText">
    <w:name w:val="Balloon Text"/>
    <w:basedOn w:val="Normal"/>
    <w:link w:val="BalloonTextChar"/>
    <w:rsid w:val="00A11F3C"/>
    <w:rPr>
      <w:rFonts w:ascii="Segoe UI" w:hAnsi="Segoe UI" w:cs="Segoe UI"/>
      <w:sz w:val="18"/>
      <w:szCs w:val="18"/>
    </w:rPr>
  </w:style>
  <w:style w:type="character" w:customStyle="1" w:styleId="BalloonTextChar">
    <w:name w:val="Balloon Text Char"/>
    <w:basedOn w:val="DefaultParagraphFont"/>
    <w:link w:val="BalloonText"/>
    <w:rsid w:val="00A11F3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EDRS</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Tor Alter</cp:lastModifiedBy>
  <cp:revision>6</cp:revision>
  <cp:lastPrinted>2016-05-03T11:26:00Z</cp:lastPrinted>
  <dcterms:created xsi:type="dcterms:W3CDTF">2014-02-25T10:08:00Z</dcterms:created>
  <dcterms:modified xsi:type="dcterms:W3CDTF">2017-08-21T11:30:00Z</dcterms:modified>
</cp:coreProperties>
</file>